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F1D24" w14:textId="77777777" w:rsidR="002A7827" w:rsidRDefault="002A7827" w:rsidP="00435EB8">
      <w:pPr>
        <w:pStyle w:val="NormalWeb"/>
        <w:jc w:val="both"/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</w:pPr>
    </w:p>
    <w:p w14:paraId="16614937" w14:textId="3F0B6ADB" w:rsidR="00465818" w:rsidRPr="00435EB8" w:rsidRDefault="00505810" w:rsidP="00435EB8">
      <w:pPr>
        <w:pStyle w:val="NormalWeb"/>
        <w:jc w:val="both"/>
        <w:rPr>
          <w:rFonts w:asciiTheme="minorHAnsi" w:eastAsiaTheme="majorEastAsia" w:hAnsiTheme="minorHAnsi"/>
          <w:b/>
          <w:bCs/>
          <w:color w:val="156082" w:themeColor="accent1"/>
          <w:sz w:val="32"/>
          <w:szCs w:val="32"/>
          <w:lang w:val="en-GB"/>
        </w:rPr>
      </w:pPr>
      <w:r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 xml:space="preserve">The </w:t>
      </w:r>
      <w:r w:rsidR="00CA513A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>Norwegian</w:t>
      </w:r>
      <w:r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 xml:space="preserve"> perspective: </w:t>
      </w:r>
      <w:r w:rsidR="00925217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 xml:space="preserve">Policy input for </w:t>
      </w:r>
      <w:r w:rsidR="00465818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 xml:space="preserve">a </w:t>
      </w:r>
      <w:r w:rsidR="0096452B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>s</w:t>
      </w:r>
      <w:r w:rsidR="00465818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 xml:space="preserve">ecure and </w:t>
      </w:r>
      <w:r w:rsidR="0096452B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>c</w:t>
      </w:r>
      <w:r w:rsidR="00465818" w:rsidRPr="00435EB8">
        <w:rPr>
          <w:rStyle w:val="Sterk"/>
          <w:rFonts w:asciiTheme="minorHAnsi" w:eastAsiaTheme="majorEastAsia" w:hAnsiTheme="minorHAnsi"/>
          <w:color w:val="156082" w:themeColor="accent1"/>
          <w:sz w:val="32"/>
          <w:szCs w:val="32"/>
          <w:lang w:val="en-GB"/>
        </w:rPr>
        <w:t>ompetitive Europe</w:t>
      </w:r>
      <w:r w:rsidR="0096452B" w:rsidRPr="00435EB8">
        <w:rPr>
          <w:rFonts w:asciiTheme="minorHAnsi" w:hAnsiTheme="minorHAnsi"/>
          <w:b/>
          <w:bCs/>
          <w:color w:val="156082" w:themeColor="accent1"/>
          <w:sz w:val="32"/>
          <w:szCs w:val="32"/>
          <w:lang w:val="en-GB"/>
        </w:rPr>
        <w:t>an tech sector</w:t>
      </w:r>
      <w:r w:rsidR="00E60A77" w:rsidRPr="00435EB8">
        <w:rPr>
          <w:rFonts w:asciiTheme="minorHAnsi" w:hAnsiTheme="minorHAnsi"/>
          <w:b/>
          <w:bCs/>
          <w:color w:val="156082" w:themeColor="accent1"/>
          <w:sz w:val="32"/>
          <w:szCs w:val="32"/>
          <w:lang w:val="en-GB"/>
        </w:rPr>
        <w:t xml:space="preserve"> </w:t>
      </w:r>
    </w:p>
    <w:p w14:paraId="2D4270C3" w14:textId="77777777" w:rsidR="00465818" w:rsidRPr="00435EB8" w:rsidRDefault="00465818" w:rsidP="00465818">
      <w:pPr>
        <w:pStyle w:val="NormalWeb"/>
        <w:rPr>
          <w:rFonts w:asciiTheme="minorHAnsi" w:hAnsiTheme="minorHAnsi"/>
          <w:b/>
          <w:bCs/>
          <w:color w:val="156082" w:themeColor="accent1"/>
          <w:sz w:val="22"/>
          <w:szCs w:val="22"/>
          <w:lang w:val="en-GB"/>
        </w:rPr>
      </w:pPr>
      <w:r w:rsidRPr="00435EB8">
        <w:rPr>
          <w:rStyle w:val="Sterk"/>
          <w:rFonts w:asciiTheme="minorHAnsi" w:eastAsiaTheme="majorEastAsia" w:hAnsiTheme="minorHAnsi"/>
          <w:b w:val="0"/>
          <w:bCs w:val="0"/>
          <w:color w:val="156082" w:themeColor="accent1"/>
          <w:sz w:val="22"/>
          <w:szCs w:val="22"/>
          <w:lang w:val="en-GB"/>
        </w:rPr>
        <w:t>ICT Norway’s recommendations to EU policymakers – April 2025</w:t>
      </w:r>
    </w:p>
    <w:p w14:paraId="68ECC201" w14:textId="7A8DD086" w:rsidR="00465818" w:rsidRPr="00D116CD" w:rsidRDefault="00D454F5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As t</w:t>
      </w:r>
      <w:r w:rsidR="00465818" w:rsidRPr="00D116CD">
        <w:rPr>
          <w:rFonts w:asciiTheme="minorHAnsi" w:hAnsiTheme="minorHAnsi"/>
          <w:lang w:val="en-GB"/>
        </w:rPr>
        <w:t xml:space="preserve">he geopolitical landscape is shifting, it has become clear that Europe must strengthen its own technological capabilities. </w:t>
      </w:r>
      <w:r w:rsidR="00465818" w:rsidRPr="00435EB8">
        <w:rPr>
          <w:rFonts w:asciiTheme="minorHAnsi" w:hAnsiTheme="minorHAnsi"/>
          <w:b/>
          <w:bCs/>
          <w:lang w:val="en-GB"/>
        </w:rPr>
        <w:t>Public-private collaboration</w:t>
      </w:r>
      <w:r w:rsidR="00465818" w:rsidRPr="00D116CD">
        <w:rPr>
          <w:rFonts w:asciiTheme="minorHAnsi" w:hAnsiTheme="minorHAnsi"/>
          <w:lang w:val="en-GB"/>
        </w:rPr>
        <w:t xml:space="preserve"> is essential to build a more secure, competitive, and digitally sovereign Union. </w:t>
      </w:r>
    </w:p>
    <w:p w14:paraId="5DDB800C" w14:textId="77777777" w:rsidR="00465818" w:rsidRPr="00D116CD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Europe’s digital resilience and strategic autonomy depend on strong </w:t>
      </w:r>
      <w:r w:rsidRPr="00435EB8">
        <w:rPr>
          <w:rFonts w:asciiTheme="minorHAnsi" w:hAnsiTheme="minorHAnsi"/>
          <w:b/>
          <w:bCs/>
          <w:lang w:val="en-GB"/>
        </w:rPr>
        <w:t>cooperation with close partners</w:t>
      </w:r>
      <w:r w:rsidRPr="00D116CD">
        <w:rPr>
          <w:rFonts w:asciiTheme="minorHAnsi" w:hAnsiTheme="minorHAnsi"/>
          <w:lang w:val="en-GB"/>
        </w:rPr>
        <w:t>. Norwegian and Nordic technology companies are key contributors to Europe’s cybersecurity, digital infrastructure, and innovation capacity. Through the EEA framework, we align closely with EU priorities — from secure AI to critical infrastructure protection.</w:t>
      </w:r>
    </w:p>
    <w:p w14:paraId="48CC247A" w14:textId="413F58DB" w:rsidR="00465818" w:rsidRPr="00D116CD" w:rsidRDefault="00847BC4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In </w:t>
      </w:r>
      <w:r w:rsidR="0061005B" w:rsidRPr="00D116CD">
        <w:rPr>
          <w:rFonts w:asciiTheme="minorHAnsi" w:hAnsiTheme="minorHAnsi"/>
          <w:lang w:val="en-GB"/>
        </w:rPr>
        <w:t>light</w:t>
      </w:r>
      <w:r w:rsidRPr="00D116CD">
        <w:rPr>
          <w:rFonts w:asciiTheme="minorHAnsi" w:hAnsiTheme="minorHAnsi"/>
          <w:lang w:val="en-GB"/>
        </w:rPr>
        <w:t xml:space="preserve"> of </w:t>
      </w:r>
      <w:r w:rsidR="0015670C" w:rsidRPr="00D116CD">
        <w:rPr>
          <w:rFonts w:asciiTheme="minorHAnsi" w:hAnsiTheme="minorHAnsi"/>
          <w:lang w:val="en-GB"/>
        </w:rPr>
        <w:t xml:space="preserve">the </w:t>
      </w:r>
      <w:r w:rsidR="0061005B" w:rsidRPr="00D116CD">
        <w:rPr>
          <w:rFonts w:asciiTheme="minorHAnsi" w:hAnsiTheme="minorHAnsi"/>
          <w:lang w:val="en-GB"/>
        </w:rPr>
        <w:t xml:space="preserve">ongoing </w:t>
      </w:r>
      <w:r w:rsidR="0015670C" w:rsidRPr="00D116CD">
        <w:rPr>
          <w:rFonts w:asciiTheme="minorHAnsi" w:hAnsiTheme="minorHAnsi"/>
          <w:lang w:val="en-GB"/>
        </w:rPr>
        <w:t xml:space="preserve">implementation of the AI Act and the AI Continent Action Plan, </w:t>
      </w:r>
      <w:r w:rsidR="0061005B" w:rsidRPr="00D116CD">
        <w:rPr>
          <w:rFonts w:asciiTheme="minorHAnsi" w:hAnsiTheme="minorHAnsi"/>
          <w:lang w:val="en-GB"/>
        </w:rPr>
        <w:t>in addition to</w:t>
      </w:r>
      <w:r w:rsidRPr="00D116CD">
        <w:rPr>
          <w:rFonts w:asciiTheme="minorHAnsi" w:hAnsiTheme="minorHAnsi"/>
          <w:lang w:val="en-GB"/>
        </w:rPr>
        <w:t xml:space="preserve"> coming policy initiatives</w:t>
      </w:r>
      <w:r w:rsidR="00A34BE9" w:rsidRPr="00D116CD">
        <w:rPr>
          <w:rFonts w:asciiTheme="minorHAnsi" w:hAnsiTheme="minorHAnsi"/>
          <w:lang w:val="en-GB"/>
        </w:rPr>
        <w:t xml:space="preserve"> that includes </w:t>
      </w:r>
      <w:r w:rsidR="00465818" w:rsidRPr="00D116CD">
        <w:rPr>
          <w:rFonts w:asciiTheme="minorHAnsi" w:hAnsiTheme="minorHAnsi"/>
          <w:lang w:val="en-GB"/>
        </w:rPr>
        <w:t xml:space="preserve">an International Digital Strategy, a Start-up and Scale-up Strategy, and new omnibus legislative packages, these are ICT Norway’s key recommendations for </w:t>
      </w:r>
      <w:r w:rsidR="00A34BE9" w:rsidRPr="00D116CD">
        <w:rPr>
          <w:rFonts w:asciiTheme="minorHAnsi" w:hAnsiTheme="minorHAnsi"/>
          <w:lang w:val="en-GB"/>
        </w:rPr>
        <w:t>EU policymakers</w:t>
      </w:r>
      <w:r w:rsidR="00465818" w:rsidRPr="00D116CD">
        <w:rPr>
          <w:rFonts w:asciiTheme="minorHAnsi" w:hAnsiTheme="minorHAnsi"/>
          <w:lang w:val="en-GB"/>
        </w:rPr>
        <w:t>:</w:t>
      </w:r>
    </w:p>
    <w:p w14:paraId="5AA0272C" w14:textId="66FD666B" w:rsidR="00465818" w:rsidRPr="00435EB8" w:rsidRDefault="00465818" w:rsidP="00465818">
      <w:pPr>
        <w:pStyle w:val="Overskrift3"/>
        <w:rPr>
          <w:b/>
          <w:bCs/>
          <w:sz w:val="24"/>
          <w:szCs w:val="24"/>
          <w:lang w:val="en-GB"/>
        </w:rPr>
      </w:pPr>
      <w:r w:rsidRPr="00435EB8">
        <w:rPr>
          <w:b/>
          <w:bCs/>
          <w:sz w:val="24"/>
          <w:szCs w:val="24"/>
          <w:lang w:val="en-GB"/>
        </w:rPr>
        <w:t xml:space="preserve">1. Smarter </w:t>
      </w:r>
      <w:r w:rsidR="00D116CD" w:rsidRPr="00435EB8">
        <w:rPr>
          <w:b/>
          <w:bCs/>
          <w:sz w:val="24"/>
          <w:szCs w:val="24"/>
          <w:lang w:val="en-GB"/>
        </w:rPr>
        <w:t>Regulation of AI</w:t>
      </w:r>
    </w:p>
    <w:p w14:paraId="4D0BAE6E" w14:textId="224EF775" w:rsidR="00465818" w:rsidRPr="00D116CD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Ensure that the AI Act and future AI </w:t>
      </w:r>
      <w:r w:rsidR="005916A4" w:rsidRPr="00D116CD">
        <w:rPr>
          <w:rFonts w:asciiTheme="minorHAnsi" w:hAnsiTheme="minorHAnsi"/>
          <w:lang w:val="en-GB"/>
        </w:rPr>
        <w:t xml:space="preserve">rules </w:t>
      </w:r>
      <w:r w:rsidRPr="00435EB8">
        <w:rPr>
          <w:rFonts w:asciiTheme="minorHAnsi" w:hAnsiTheme="minorHAnsi"/>
          <w:b/>
          <w:bCs/>
          <w:lang w:val="en-GB"/>
        </w:rPr>
        <w:t>promote innovation and competitiveness</w:t>
      </w:r>
      <w:r w:rsidRPr="00D116CD">
        <w:rPr>
          <w:rFonts w:asciiTheme="minorHAnsi" w:hAnsiTheme="minorHAnsi"/>
          <w:lang w:val="en-GB"/>
        </w:rPr>
        <w:t xml:space="preserve">. The EU must prioritise innovation incentives and regulatory clarity over bureaucratic overreach. </w:t>
      </w:r>
      <w:r w:rsidR="00AB22A1" w:rsidRPr="00D116CD">
        <w:rPr>
          <w:rFonts w:asciiTheme="minorHAnsi" w:hAnsiTheme="minorHAnsi"/>
          <w:lang w:val="en-GB"/>
        </w:rPr>
        <w:t xml:space="preserve">AI innovation in Europe is being held back by uncertainty, compliance costs, and fragmented implementation. </w:t>
      </w:r>
      <w:r w:rsidRPr="00D116CD">
        <w:rPr>
          <w:rFonts w:asciiTheme="minorHAnsi" w:hAnsiTheme="minorHAnsi"/>
          <w:lang w:val="en-GB"/>
        </w:rPr>
        <w:t>Regulators should guide and enable — not merely enforce.</w:t>
      </w:r>
    </w:p>
    <w:p w14:paraId="41CAA9D9" w14:textId="4A77FC26" w:rsidR="00465818" w:rsidRPr="00435EB8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435EB8">
        <w:rPr>
          <w:rFonts w:asciiTheme="minorHAnsi" w:hAnsiTheme="minorHAnsi"/>
          <w:lang w:val="en-GB"/>
        </w:rPr>
        <w:t>The EU should:</w:t>
      </w:r>
    </w:p>
    <w:p w14:paraId="16E2C360" w14:textId="77777777" w:rsidR="00465818" w:rsidRPr="00D116CD" w:rsidRDefault="00465818" w:rsidP="00E60A77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Promote regulatory sandboxes and testing zones.</w:t>
      </w:r>
    </w:p>
    <w:p w14:paraId="146DEFAD" w14:textId="77777777" w:rsidR="00465818" w:rsidRPr="00D116CD" w:rsidRDefault="00465818" w:rsidP="00E60A77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Accelerate conformity assessments for low-risk applications.</w:t>
      </w:r>
    </w:p>
    <w:p w14:paraId="5890835B" w14:textId="77777777" w:rsidR="00465818" w:rsidRPr="00D116CD" w:rsidRDefault="00465818" w:rsidP="00E60A77">
      <w:pPr>
        <w:pStyle w:val="NormalWeb"/>
        <w:numPr>
          <w:ilvl w:val="0"/>
          <w:numId w:val="8"/>
        </w:numPr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Incentivise ethical AI development through R&amp;D support schemes.</w:t>
      </w:r>
    </w:p>
    <w:p w14:paraId="3B0C2D26" w14:textId="7DEFAB51" w:rsidR="00465818" w:rsidRPr="00435EB8" w:rsidRDefault="00C84234" w:rsidP="00465818">
      <w:pPr>
        <w:pStyle w:val="Overskrift3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2</w:t>
      </w:r>
      <w:r w:rsidR="00465818" w:rsidRPr="00435EB8">
        <w:rPr>
          <w:b/>
          <w:bCs/>
          <w:sz w:val="24"/>
          <w:szCs w:val="24"/>
          <w:lang w:val="en-GB"/>
        </w:rPr>
        <w:t>. Simplify Privacy and Data Sharing Rules</w:t>
      </w:r>
    </w:p>
    <w:p w14:paraId="5D2CE4A4" w14:textId="53DDA538" w:rsidR="00465818" w:rsidRPr="00D116CD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Ensure that data protection rules — including the General Data Protection Regulation (GDPR) — enable, rather than hinder, </w:t>
      </w:r>
      <w:r w:rsidRPr="00435EB8">
        <w:rPr>
          <w:rFonts w:asciiTheme="minorHAnsi" w:hAnsiTheme="minorHAnsi"/>
          <w:b/>
          <w:bCs/>
          <w:lang w:val="en-GB"/>
        </w:rPr>
        <w:t>responsible innovation and data sharing</w:t>
      </w:r>
      <w:r w:rsidRPr="00D116CD">
        <w:rPr>
          <w:rFonts w:asciiTheme="minorHAnsi" w:hAnsiTheme="minorHAnsi"/>
          <w:lang w:val="en-GB"/>
        </w:rPr>
        <w:t xml:space="preserve">. Clear, consistent guidance and legal certainty are essential to unlock the value of data across sectors, including health, mobility, and critical infrastructure. These issues should be addressed in </w:t>
      </w:r>
      <w:r w:rsidR="00AE68F6" w:rsidRPr="00D116CD">
        <w:rPr>
          <w:rFonts w:asciiTheme="minorHAnsi" w:hAnsiTheme="minorHAnsi"/>
          <w:lang w:val="en-GB"/>
        </w:rPr>
        <w:t xml:space="preserve">potential </w:t>
      </w:r>
      <w:r w:rsidRPr="00D116CD">
        <w:rPr>
          <w:rFonts w:asciiTheme="minorHAnsi" w:hAnsiTheme="minorHAnsi"/>
          <w:lang w:val="en-GB"/>
        </w:rPr>
        <w:t>upcoming omnibus initiatives and legislative reviews.</w:t>
      </w:r>
    </w:p>
    <w:p w14:paraId="1E4C5F9E" w14:textId="152CF484" w:rsidR="00465818" w:rsidRPr="00435EB8" w:rsidRDefault="00C84234" w:rsidP="00465818">
      <w:pPr>
        <w:pStyle w:val="Overskrift3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>3</w:t>
      </w:r>
      <w:r w:rsidR="00465818" w:rsidRPr="00435EB8">
        <w:rPr>
          <w:b/>
          <w:bCs/>
          <w:sz w:val="24"/>
          <w:szCs w:val="24"/>
          <w:lang w:val="en-GB"/>
        </w:rPr>
        <w:t>. Strengthen Digital Security and Resilience</w:t>
      </w:r>
    </w:p>
    <w:p w14:paraId="72FCE36C" w14:textId="71AFF6BE" w:rsidR="00465818" w:rsidRPr="00435EB8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435EB8">
        <w:rPr>
          <w:rFonts w:asciiTheme="minorHAnsi" w:hAnsiTheme="minorHAnsi"/>
          <w:lang w:val="en-GB"/>
        </w:rPr>
        <w:t xml:space="preserve">As highlighted in the European Preparedness Union Strategy, </w:t>
      </w:r>
      <w:r w:rsidRPr="00435EB8">
        <w:rPr>
          <w:rFonts w:asciiTheme="minorHAnsi" w:hAnsiTheme="minorHAnsi"/>
          <w:b/>
          <w:bCs/>
          <w:lang w:val="en-GB"/>
        </w:rPr>
        <w:t xml:space="preserve">public-private cooperation must be scaled in strategic sectors </w:t>
      </w:r>
      <w:r w:rsidRPr="00435EB8">
        <w:rPr>
          <w:rFonts w:asciiTheme="minorHAnsi" w:hAnsiTheme="minorHAnsi"/>
          <w:lang w:val="en-GB"/>
        </w:rPr>
        <w:t>such as cybersecurity. Norwegian and Nordic tech actors should be integrated into current and future EU-level cooperations to support cross-border surveillance and cyberdefence capabilities</w:t>
      </w:r>
      <w:r w:rsidR="5E6DE7FF" w:rsidRPr="00435EB8">
        <w:rPr>
          <w:rFonts w:asciiTheme="minorHAnsi" w:hAnsiTheme="minorHAnsi"/>
          <w:lang w:val="en-GB"/>
        </w:rPr>
        <w:t>.</w:t>
      </w:r>
    </w:p>
    <w:p w14:paraId="6AAD9AD2" w14:textId="24E08D88" w:rsidR="00465818" w:rsidRPr="00435EB8" w:rsidRDefault="00C84234" w:rsidP="00465818">
      <w:pPr>
        <w:pStyle w:val="Overskrift3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</w:t>
      </w:r>
      <w:r w:rsidR="00465818" w:rsidRPr="00435EB8">
        <w:rPr>
          <w:b/>
          <w:bCs/>
          <w:sz w:val="24"/>
          <w:szCs w:val="24"/>
          <w:lang w:val="en-GB"/>
        </w:rPr>
        <w:t>. Build Joint Reserves for Critical Tech</w:t>
      </w:r>
    </w:p>
    <w:p w14:paraId="21195C68" w14:textId="79183014" w:rsidR="00465818" w:rsidRPr="00D116CD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Establish joint European </w:t>
      </w:r>
      <w:r w:rsidRPr="00435EB8">
        <w:rPr>
          <w:rFonts w:asciiTheme="minorHAnsi" w:hAnsiTheme="minorHAnsi"/>
          <w:b/>
          <w:bCs/>
          <w:lang w:val="en-GB"/>
        </w:rPr>
        <w:t>reserves of critical technology components</w:t>
      </w:r>
      <w:r w:rsidRPr="00D116CD">
        <w:rPr>
          <w:rFonts w:asciiTheme="minorHAnsi" w:hAnsiTheme="minorHAnsi"/>
          <w:lang w:val="en-GB"/>
        </w:rPr>
        <w:t xml:space="preserve"> to strengthen supply chain resilience and digital crisis preparedness. This should be part of implementing both the European Preparedness Union Strategy and the White Paper on European Defence.</w:t>
      </w:r>
    </w:p>
    <w:p w14:paraId="64FACDC2" w14:textId="50EE4D9D" w:rsidR="00465818" w:rsidRPr="00435EB8" w:rsidRDefault="00C84234" w:rsidP="00465818">
      <w:pPr>
        <w:pStyle w:val="Overskrift3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5</w:t>
      </w:r>
      <w:r w:rsidR="00465818" w:rsidRPr="00435EB8">
        <w:rPr>
          <w:b/>
          <w:bCs/>
          <w:sz w:val="24"/>
          <w:szCs w:val="24"/>
          <w:lang w:val="en-GB"/>
        </w:rPr>
        <w:t>. Align Security Clearance Procedures</w:t>
      </w:r>
    </w:p>
    <w:p w14:paraId="04B46C5D" w14:textId="2FF96E32" w:rsidR="00465818" w:rsidRPr="00D116CD" w:rsidRDefault="00465818" w:rsidP="00E60A77">
      <w:pPr>
        <w:pStyle w:val="NormalWeb"/>
        <w:jc w:val="both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 xml:space="preserve">Promote </w:t>
      </w:r>
      <w:r w:rsidRPr="00435EB8">
        <w:rPr>
          <w:rFonts w:asciiTheme="minorHAnsi" w:hAnsiTheme="minorHAnsi"/>
          <w:b/>
          <w:bCs/>
          <w:lang w:val="en-GB"/>
        </w:rPr>
        <w:t>mutual recognition and alignment of security clearance procedures</w:t>
      </w:r>
      <w:r w:rsidRPr="00D116CD">
        <w:rPr>
          <w:rFonts w:asciiTheme="minorHAnsi" w:hAnsiTheme="minorHAnsi"/>
          <w:lang w:val="en-GB"/>
        </w:rPr>
        <w:t xml:space="preserve"> for technology providers involved in critical infrastructure and defence. This includes enhanced public-private cooperation and the development of interoperable frameworks across EU and associated countries. Mutual clearance frameworks would reduce delays in deploying trusted vendors in EU critical infrastructure projects.</w:t>
      </w:r>
    </w:p>
    <w:p w14:paraId="18ADD9F2" w14:textId="77777777" w:rsidR="00465818" w:rsidRPr="00435EB8" w:rsidRDefault="00B7727C" w:rsidP="00465818">
      <w:pPr>
        <w:rPr>
          <w:lang w:val="en-GB"/>
        </w:rPr>
      </w:pPr>
      <w:r w:rsidRPr="00B7727C">
        <w:rPr>
          <w:noProof/>
          <w:lang w:val="en-GB"/>
          <w14:ligatures w14:val="standardContextual"/>
        </w:rPr>
        <w:pict w14:anchorId="733201CD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8EC831" w14:textId="77777777" w:rsidR="00465818" w:rsidRPr="00D116CD" w:rsidRDefault="00465818" w:rsidP="00465818">
      <w:pPr>
        <w:pStyle w:val="NormalWeb"/>
        <w:rPr>
          <w:rFonts w:asciiTheme="minorHAnsi" w:hAnsiTheme="minorHAnsi"/>
          <w:color w:val="156082" w:themeColor="accent1"/>
          <w:sz w:val="28"/>
          <w:szCs w:val="28"/>
          <w:lang w:val="en-GB"/>
        </w:rPr>
      </w:pPr>
      <w:r w:rsidRPr="00D116CD">
        <w:rPr>
          <w:rStyle w:val="Sterk"/>
          <w:rFonts w:asciiTheme="minorHAnsi" w:eastAsiaTheme="majorEastAsia" w:hAnsiTheme="minorHAnsi"/>
          <w:color w:val="156082" w:themeColor="accent1"/>
          <w:sz w:val="28"/>
          <w:szCs w:val="28"/>
          <w:lang w:val="en-GB"/>
        </w:rPr>
        <w:t>About ICT Norway</w:t>
      </w:r>
    </w:p>
    <w:p w14:paraId="60A2F13E" w14:textId="77777777" w:rsidR="00465818" w:rsidRPr="00D116CD" w:rsidRDefault="00465818" w:rsidP="00465818">
      <w:pPr>
        <w:pStyle w:val="NormalWeb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ICT Norway is an independent member organization for companies within the digital tech sector. Our members include large and small companies from various digital industries with a common foundation in technology and digital solutions. With over 300 members, ICT Norway offers Norway’s largest network across the digital industry.</w:t>
      </w:r>
    </w:p>
    <w:p w14:paraId="660DB183" w14:textId="72A44FBB" w:rsidR="00465818" w:rsidRPr="00D116CD" w:rsidRDefault="00465818" w:rsidP="00465818">
      <w:pPr>
        <w:pStyle w:val="NormalWeb"/>
        <w:rPr>
          <w:rFonts w:asciiTheme="minorHAnsi" w:hAnsiTheme="minorHAnsi"/>
          <w:lang w:val="en-GB"/>
        </w:rPr>
      </w:pPr>
      <w:r w:rsidRPr="00D116CD">
        <w:rPr>
          <w:rStyle w:val="Sterk"/>
          <w:rFonts w:asciiTheme="minorHAnsi" w:eastAsiaTheme="majorEastAsia" w:hAnsiTheme="minorHAnsi"/>
          <w:lang w:val="en-GB"/>
        </w:rPr>
        <w:t>Contact:</w:t>
      </w:r>
      <w:r w:rsidRPr="00D116CD">
        <w:rPr>
          <w:rFonts w:asciiTheme="minorHAnsi" w:hAnsiTheme="minorHAnsi"/>
          <w:lang w:val="en-GB"/>
        </w:rPr>
        <w:t xml:space="preserve"> </w:t>
      </w:r>
      <w:r w:rsidR="00E60A77" w:rsidRPr="00D116CD">
        <w:rPr>
          <w:rFonts w:asciiTheme="minorHAnsi" w:hAnsiTheme="minorHAnsi"/>
          <w:lang w:val="en-GB"/>
        </w:rPr>
        <w:br/>
      </w:r>
      <w:r w:rsidRPr="00D116CD">
        <w:rPr>
          <w:rFonts w:asciiTheme="minorHAnsi" w:hAnsiTheme="minorHAnsi"/>
          <w:lang w:val="en-GB"/>
        </w:rPr>
        <w:t>Mr Øyvind Huseby</w:t>
      </w:r>
      <w:r w:rsidRPr="00D116CD">
        <w:rPr>
          <w:rFonts w:asciiTheme="minorHAnsi" w:hAnsiTheme="minorHAnsi"/>
          <w:lang w:val="en-GB"/>
        </w:rPr>
        <w:br/>
        <w:t>CEO</w:t>
      </w:r>
      <w:r w:rsidRPr="00D116CD">
        <w:rPr>
          <w:rFonts w:asciiTheme="minorHAnsi" w:hAnsiTheme="minorHAnsi"/>
          <w:lang w:val="en-GB"/>
        </w:rPr>
        <w:br/>
        <w:t>husby@ikt-norge.no</w:t>
      </w:r>
    </w:p>
    <w:p w14:paraId="365FCE33" w14:textId="77777777" w:rsidR="00465818" w:rsidRPr="00D116CD" w:rsidRDefault="00465818" w:rsidP="00465818">
      <w:pPr>
        <w:pStyle w:val="NormalWeb"/>
        <w:rPr>
          <w:rFonts w:asciiTheme="minorHAnsi" w:hAnsiTheme="minorHAnsi"/>
          <w:lang w:val="en-GB"/>
        </w:rPr>
      </w:pPr>
      <w:r w:rsidRPr="00D116CD">
        <w:rPr>
          <w:rFonts w:asciiTheme="minorHAnsi" w:hAnsiTheme="minorHAnsi"/>
          <w:lang w:val="en-GB"/>
        </w:rPr>
        <w:t>Mr Jarle Roheim Håkonsen</w:t>
      </w:r>
      <w:r w:rsidRPr="00D116CD">
        <w:rPr>
          <w:rFonts w:asciiTheme="minorHAnsi" w:hAnsiTheme="minorHAnsi"/>
          <w:lang w:val="en-GB"/>
        </w:rPr>
        <w:br/>
        <w:t>Director of Communication and Business Policy</w:t>
      </w:r>
      <w:r w:rsidRPr="00D116CD">
        <w:rPr>
          <w:rFonts w:asciiTheme="minorHAnsi" w:hAnsiTheme="minorHAnsi"/>
          <w:lang w:val="en-GB"/>
        </w:rPr>
        <w:br/>
        <w:t>jarle@ikt-norge.no</w:t>
      </w:r>
    </w:p>
    <w:p w14:paraId="3E16FE38" w14:textId="701F35F3" w:rsidR="005D4323" w:rsidRPr="00435EB8" w:rsidRDefault="00465818" w:rsidP="00E60A77">
      <w:pPr>
        <w:pStyle w:val="NormalWeb"/>
        <w:rPr>
          <w:rFonts w:asciiTheme="minorHAnsi" w:hAnsiTheme="minorHAnsi"/>
          <w:lang w:val="en-GB"/>
        </w:rPr>
      </w:pPr>
      <w:r w:rsidRPr="00435EB8">
        <w:rPr>
          <w:rFonts w:asciiTheme="minorHAnsi" w:hAnsiTheme="minorHAnsi"/>
          <w:lang w:val="en-GB"/>
        </w:rPr>
        <w:t>www.ikt-norge.no</w:t>
      </w:r>
      <w:r w:rsidRPr="00435EB8">
        <w:rPr>
          <w:rFonts w:asciiTheme="minorHAnsi" w:hAnsiTheme="minorHAnsi"/>
          <w:lang w:val="en-GB"/>
        </w:rPr>
        <w:br/>
        <w:t>Transparency register: 136147697147-80</w:t>
      </w:r>
    </w:p>
    <w:sectPr w:rsidR="005D4323" w:rsidRPr="00435EB8" w:rsidSect="00F2708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D401F" w14:textId="77777777" w:rsidR="00B7727C" w:rsidRDefault="00B7727C" w:rsidP="007531F9">
      <w:pPr>
        <w:spacing w:after="0" w:line="240" w:lineRule="auto"/>
      </w:pPr>
      <w:r>
        <w:separator/>
      </w:r>
    </w:p>
  </w:endnote>
  <w:endnote w:type="continuationSeparator" w:id="0">
    <w:p w14:paraId="7E4BEB71" w14:textId="77777777" w:rsidR="00B7727C" w:rsidRDefault="00B7727C" w:rsidP="007531F9">
      <w:pPr>
        <w:spacing w:after="0" w:line="240" w:lineRule="auto"/>
      </w:pPr>
      <w:r>
        <w:continuationSeparator/>
      </w:r>
    </w:p>
  </w:endnote>
  <w:endnote w:type="continuationNotice" w:id="1">
    <w:p w14:paraId="73BE4C02" w14:textId="77777777" w:rsidR="00B7727C" w:rsidRDefault="00B772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493A0" w14:textId="77777777" w:rsidR="00B7727C" w:rsidRDefault="00B7727C" w:rsidP="007531F9">
      <w:pPr>
        <w:spacing w:after="0" w:line="240" w:lineRule="auto"/>
      </w:pPr>
      <w:r>
        <w:separator/>
      </w:r>
    </w:p>
  </w:footnote>
  <w:footnote w:type="continuationSeparator" w:id="0">
    <w:p w14:paraId="33873642" w14:textId="77777777" w:rsidR="00B7727C" w:rsidRDefault="00B7727C" w:rsidP="007531F9">
      <w:pPr>
        <w:spacing w:after="0" w:line="240" w:lineRule="auto"/>
      </w:pPr>
      <w:r>
        <w:continuationSeparator/>
      </w:r>
    </w:p>
  </w:footnote>
  <w:footnote w:type="continuationNotice" w:id="1">
    <w:p w14:paraId="657B6779" w14:textId="77777777" w:rsidR="00B7727C" w:rsidRDefault="00B772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2EDA7" w14:textId="50669CA4" w:rsidR="007531F9" w:rsidRDefault="00F2708B" w:rsidP="00F2708B">
    <w:pPr>
      <w:pStyle w:val="Topptekst"/>
      <w:jc w:val="right"/>
    </w:pPr>
    <w:r>
      <w:fldChar w:fldCharType="begin"/>
    </w:r>
    <w:r>
      <w:instrText xml:space="preserve"> INCLUDEPICTURE "https://ehin.no/2021/wp-content/uploads/sites/3/2021/06/IKT-Norge.jpg" \* MERGEFORMATINET </w:instrText>
    </w:r>
    <w:r>
      <w:fldChar w:fldCharType="separate"/>
    </w:r>
    <w:r>
      <w:rPr>
        <w:noProof/>
      </w:rPr>
      <w:drawing>
        <wp:inline distT="0" distB="0" distL="0" distR="0" wp14:anchorId="478DC654" wp14:editId="0831DB2D">
          <wp:extent cx="2247900" cy="437092"/>
          <wp:effectExtent l="0" t="0" r="0" b="0"/>
          <wp:docPr id="2137058954" name="Picture 1" descr="EHIN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HIN 202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149" b="34283"/>
                  <a:stretch/>
                </pic:blipFill>
                <pic:spPr bwMode="auto">
                  <a:xfrm>
                    <a:off x="0" y="0"/>
                    <a:ext cx="2347792" cy="456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fldChar w:fldCharType="end"/>
    </w:r>
  </w:p>
  <w:p w14:paraId="796E7272" w14:textId="77777777" w:rsidR="00F2708B" w:rsidRDefault="00F2708B" w:rsidP="00F2708B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5243838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3F11"/>
    <w:multiLevelType w:val="multilevel"/>
    <w:tmpl w:val="3C32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105C5"/>
    <w:multiLevelType w:val="multilevel"/>
    <w:tmpl w:val="FEA2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E20710"/>
    <w:multiLevelType w:val="multilevel"/>
    <w:tmpl w:val="2B42E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33B8C"/>
    <w:multiLevelType w:val="multilevel"/>
    <w:tmpl w:val="2E3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CE1008"/>
    <w:multiLevelType w:val="multilevel"/>
    <w:tmpl w:val="73EE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174189"/>
    <w:multiLevelType w:val="multilevel"/>
    <w:tmpl w:val="D72E9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D2A66"/>
    <w:multiLevelType w:val="multilevel"/>
    <w:tmpl w:val="AC0E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4350814">
    <w:abstractNumId w:val="6"/>
  </w:num>
  <w:num w:numId="2" w16cid:durableId="1813671667">
    <w:abstractNumId w:val="1"/>
  </w:num>
  <w:num w:numId="3" w16cid:durableId="1004938321">
    <w:abstractNumId w:val="5"/>
  </w:num>
  <w:num w:numId="4" w16cid:durableId="497767793">
    <w:abstractNumId w:val="7"/>
  </w:num>
  <w:num w:numId="5" w16cid:durableId="1080755004">
    <w:abstractNumId w:val="4"/>
  </w:num>
  <w:num w:numId="6" w16cid:durableId="2049182563">
    <w:abstractNumId w:val="3"/>
  </w:num>
  <w:num w:numId="7" w16cid:durableId="1606157523">
    <w:abstractNumId w:val="0"/>
  </w:num>
  <w:num w:numId="8" w16cid:durableId="3000359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E36"/>
    <w:rsid w:val="00000B1D"/>
    <w:rsid w:val="000271DD"/>
    <w:rsid w:val="00087FB0"/>
    <w:rsid w:val="000D283D"/>
    <w:rsid w:val="0015670C"/>
    <w:rsid w:val="00161595"/>
    <w:rsid w:val="0017704D"/>
    <w:rsid w:val="00216F66"/>
    <w:rsid w:val="00221DB8"/>
    <w:rsid w:val="00226106"/>
    <w:rsid w:val="00226438"/>
    <w:rsid w:val="00260AF9"/>
    <w:rsid w:val="002A033C"/>
    <w:rsid w:val="002A7827"/>
    <w:rsid w:val="002C0F5F"/>
    <w:rsid w:val="00302AD4"/>
    <w:rsid w:val="00360D24"/>
    <w:rsid w:val="003B23CF"/>
    <w:rsid w:val="003E3744"/>
    <w:rsid w:val="00435EB8"/>
    <w:rsid w:val="0044469B"/>
    <w:rsid w:val="00465818"/>
    <w:rsid w:val="00470D9F"/>
    <w:rsid w:val="004835E7"/>
    <w:rsid w:val="004849EF"/>
    <w:rsid w:val="004B67B8"/>
    <w:rsid w:val="004F07CA"/>
    <w:rsid w:val="00505810"/>
    <w:rsid w:val="00552CB8"/>
    <w:rsid w:val="005556A7"/>
    <w:rsid w:val="0056010A"/>
    <w:rsid w:val="0056499E"/>
    <w:rsid w:val="00584357"/>
    <w:rsid w:val="005916A4"/>
    <w:rsid w:val="00591E4C"/>
    <w:rsid w:val="005B4AD8"/>
    <w:rsid w:val="005B4EC4"/>
    <w:rsid w:val="005C0A3D"/>
    <w:rsid w:val="005D35AF"/>
    <w:rsid w:val="005D4323"/>
    <w:rsid w:val="005D5C06"/>
    <w:rsid w:val="0061005B"/>
    <w:rsid w:val="00634329"/>
    <w:rsid w:val="00645021"/>
    <w:rsid w:val="00652749"/>
    <w:rsid w:val="00657FAB"/>
    <w:rsid w:val="006C2791"/>
    <w:rsid w:val="006D19DF"/>
    <w:rsid w:val="006D3E36"/>
    <w:rsid w:val="006E2FA1"/>
    <w:rsid w:val="006E305C"/>
    <w:rsid w:val="006F2FB0"/>
    <w:rsid w:val="00746542"/>
    <w:rsid w:val="007531F9"/>
    <w:rsid w:val="0075426D"/>
    <w:rsid w:val="00774501"/>
    <w:rsid w:val="007A543E"/>
    <w:rsid w:val="007A57F8"/>
    <w:rsid w:val="007A65A5"/>
    <w:rsid w:val="00836607"/>
    <w:rsid w:val="00847BC4"/>
    <w:rsid w:val="008730CE"/>
    <w:rsid w:val="008A0285"/>
    <w:rsid w:val="008B1454"/>
    <w:rsid w:val="008C745B"/>
    <w:rsid w:val="008F45EC"/>
    <w:rsid w:val="0091689C"/>
    <w:rsid w:val="00923817"/>
    <w:rsid w:val="00925217"/>
    <w:rsid w:val="0094094B"/>
    <w:rsid w:val="0094266C"/>
    <w:rsid w:val="00950284"/>
    <w:rsid w:val="0096452B"/>
    <w:rsid w:val="00971395"/>
    <w:rsid w:val="009C681D"/>
    <w:rsid w:val="00A0647C"/>
    <w:rsid w:val="00A113D5"/>
    <w:rsid w:val="00A17408"/>
    <w:rsid w:val="00A34BE9"/>
    <w:rsid w:val="00A71B55"/>
    <w:rsid w:val="00A733C5"/>
    <w:rsid w:val="00AA7E75"/>
    <w:rsid w:val="00AB22A1"/>
    <w:rsid w:val="00AD55EE"/>
    <w:rsid w:val="00AE630F"/>
    <w:rsid w:val="00AE68F6"/>
    <w:rsid w:val="00B62584"/>
    <w:rsid w:val="00B6495E"/>
    <w:rsid w:val="00B73BB3"/>
    <w:rsid w:val="00B7727C"/>
    <w:rsid w:val="00B81F33"/>
    <w:rsid w:val="00B82EB9"/>
    <w:rsid w:val="00B855C4"/>
    <w:rsid w:val="00B957D6"/>
    <w:rsid w:val="00BA1D6D"/>
    <w:rsid w:val="00BA3616"/>
    <w:rsid w:val="00BB7FC6"/>
    <w:rsid w:val="00C824E8"/>
    <w:rsid w:val="00C84234"/>
    <w:rsid w:val="00C95F4B"/>
    <w:rsid w:val="00CA141A"/>
    <w:rsid w:val="00CA513A"/>
    <w:rsid w:val="00CA5D96"/>
    <w:rsid w:val="00CE1485"/>
    <w:rsid w:val="00CF094A"/>
    <w:rsid w:val="00D07675"/>
    <w:rsid w:val="00D116CD"/>
    <w:rsid w:val="00D26B72"/>
    <w:rsid w:val="00D365FD"/>
    <w:rsid w:val="00D454F5"/>
    <w:rsid w:val="00D46419"/>
    <w:rsid w:val="00D5616A"/>
    <w:rsid w:val="00D853C8"/>
    <w:rsid w:val="00DA4A6E"/>
    <w:rsid w:val="00DB0644"/>
    <w:rsid w:val="00DC08D5"/>
    <w:rsid w:val="00DC45B8"/>
    <w:rsid w:val="00DD3141"/>
    <w:rsid w:val="00DD6EAC"/>
    <w:rsid w:val="00E36A6A"/>
    <w:rsid w:val="00E44367"/>
    <w:rsid w:val="00E60A77"/>
    <w:rsid w:val="00E6305E"/>
    <w:rsid w:val="00E73ED7"/>
    <w:rsid w:val="00EC68BD"/>
    <w:rsid w:val="00ED20F4"/>
    <w:rsid w:val="00ED25CE"/>
    <w:rsid w:val="00EF0FE1"/>
    <w:rsid w:val="00F23985"/>
    <w:rsid w:val="00F26C0D"/>
    <w:rsid w:val="00F2708B"/>
    <w:rsid w:val="00F345B9"/>
    <w:rsid w:val="00F34885"/>
    <w:rsid w:val="00F35651"/>
    <w:rsid w:val="00F41D36"/>
    <w:rsid w:val="00F455C2"/>
    <w:rsid w:val="00F568BE"/>
    <w:rsid w:val="00F60577"/>
    <w:rsid w:val="00F72D59"/>
    <w:rsid w:val="00F76DFA"/>
    <w:rsid w:val="00F835A2"/>
    <w:rsid w:val="00F86C13"/>
    <w:rsid w:val="00F96F57"/>
    <w:rsid w:val="00FA3F73"/>
    <w:rsid w:val="00FB6016"/>
    <w:rsid w:val="00FB7985"/>
    <w:rsid w:val="00FE6634"/>
    <w:rsid w:val="22D8EED9"/>
    <w:rsid w:val="5E6DE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9AA21"/>
  <w15:chartTrackingRefBased/>
  <w15:docId w15:val="{54356EA8-B6CC-754E-9D56-92A477F2D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323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4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D4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4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D4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D4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D43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D43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D43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D43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4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D432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D432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D432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D432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D432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D432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D4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D4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D43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D4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D4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D432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D432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D432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D4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D432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D4323"/>
    <w:rPr>
      <w:b/>
      <w:bCs/>
      <w:smallCaps/>
      <w:color w:val="0F4761" w:themeColor="accent1" w:themeShade="BF"/>
      <w:spacing w:val="5"/>
    </w:rPr>
  </w:style>
  <w:style w:type="character" w:styleId="Sterk">
    <w:name w:val="Strong"/>
    <w:basedOn w:val="Standardskriftforavsnitt"/>
    <w:uiPriority w:val="22"/>
    <w:qFormat/>
    <w:rsid w:val="005D4323"/>
    <w:rPr>
      <w:b/>
      <w:bCs/>
    </w:rPr>
  </w:style>
  <w:style w:type="character" w:styleId="Utheving">
    <w:name w:val="Emphasis"/>
    <w:basedOn w:val="Standardskriftforavsnitt"/>
    <w:uiPriority w:val="20"/>
    <w:qFormat/>
    <w:rsid w:val="005D4323"/>
    <w:rPr>
      <w:i/>
      <w:iCs/>
    </w:rPr>
  </w:style>
  <w:style w:type="paragraph" w:styleId="Punktliste">
    <w:name w:val="List Bullet"/>
    <w:basedOn w:val="Normal"/>
    <w:uiPriority w:val="99"/>
    <w:unhideWhenUsed/>
    <w:rsid w:val="005D4323"/>
    <w:pPr>
      <w:numPr>
        <w:numId w:val="7"/>
      </w:numPr>
      <w:contextualSpacing/>
    </w:pPr>
  </w:style>
  <w:style w:type="character" w:styleId="Hyperkobling">
    <w:name w:val="Hyperlink"/>
    <w:basedOn w:val="Standardskriftforavsnitt"/>
    <w:uiPriority w:val="99"/>
    <w:unhideWhenUsed/>
    <w:rsid w:val="005D432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D432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5D4323"/>
    <w:rPr>
      <w:color w:val="96607D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75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531F9"/>
    <w:rPr>
      <w:rFonts w:eastAsiaTheme="minorEastAsia"/>
      <w:kern w:val="0"/>
      <w:sz w:val="22"/>
      <w:szCs w:val="22"/>
      <w:lang w:val="en-US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7531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531F9"/>
    <w:rPr>
      <w:rFonts w:eastAsiaTheme="minorEastAsia"/>
      <w:kern w:val="0"/>
      <w:sz w:val="22"/>
      <w:szCs w:val="22"/>
      <w:lang w:val="en-US"/>
      <w14:ligatures w14:val="none"/>
    </w:rPr>
  </w:style>
  <w:style w:type="paragraph" w:styleId="Revisjon">
    <w:name w:val="Revision"/>
    <w:hidden/>
    <w:uiPriority w:val="99"/>
    <w:semiHidden/>
    <w:rsid w:val="00B82EB9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D35A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D35A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D35AF"/>
    <w:rPr>
      <w:rFonts w:eastAsiaTheme="minorEastAsia"/>
      <w:kern w:val="0"/>
      <w:sz w:val="20"/>
      <w:szCs w:val="20"/>
      <w:lang w:val="en-US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D35A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D35AF"/>
    <w:rPr>
      <w:rFonts w:eastAsiaTheme="minorEastAsia"/>
      <w:b/>
      <w:bCs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465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ugustsimonsen/Library/CloudStorage/OneDrive-Deltebiblioteker&#8211;TINGVOLL/TINGVOLL%2520-%2520TINGVOLL%2520-%2520Documents/Kunder%2520&amp;%2520prosjekter/IKT%2520Norge%2520(2025)/Studietur/Utkast%2520-%2520Position%2520Paper%2520ICT%2520Norway%2520(April%25202025)-Admin%2520sin%2525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7E220EB6AF449B65BF17D8D8E1AB8" ma:contentTypeVersion="15" ma:contentTypeDescription="Create a new document." ma:contentTypeScope="" ma:versionID="2676210564ebd80d01295e2ff88c966a">
  <xsd:schema xmlns:xsd="http://www.w3.org/2001/XMLSchema" xmlns:xs="http://www.w3.org/2001/XMLSchema" xmlns:p="http://schemas.microsoft.com/office/2006/metadata/properties" xmlns:ns2="f7ab4c37-169b-4170-8152-e056b4b063ab" xmlns:ns3="49014cc3-55ac-40f9-93dd-8a4b8e00b711" targetNamespace="http://schemas.microsoft.com/office/2006/metadata/properties" ma:root="true" ma:fieldsID="7057716a6730428077539ace407a2b3b" ns2:_="" ns3:_="">
    <xsd:import namespace="f7ab4c37-169b-4170-8152-e056b4b063ab"/>
    <xsd:import namespace="49014cc3-55ac-40f9-93dd-8a4b8e00b7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b4c37-169b-4170-8152-e056b4b06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b68767f-5fc5-42b0-bb3d-c0b8ff6408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14cc3-55ac-40f9-93dd-8a4b8e00b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59d7692-7f9d-4c17-9703-93cdfb5dba3b}" ma:internalName="TaxCatchAll" ma:showField="CatchAllData" ma:web="49014cc3-55ac-40f9-93dd-8a4b8e00b7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ab4c37-169b-4170-8152-e056b4b063ab">
      <Terms xmlns="http://schemas.microsoft.com/office/infopath/2007/PartnerControls"/>
    </lcf76f155ced4ddcb4097134ff3c332f>
    <TaxCatchAll xmlns="49014cc3-55ac-40f9-93dd-8a4b8e00b711" xsi:nil="true"/>
  </documentManagement>
</p:properties>
</file>

<file path=customXml/itemProps1.xml><?xml version="1.0" encoding="utf-8"?>
<ds:datastoreItem xmlns:ds="http://schemas.openxmlformats.org/officeDocument/2006/customXml" ds:itemID="{85D56214-20FF-464D-880D-3D85A0F61C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07AB9D-3434-4424-B0A0-7CC356AC2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ab4c37-169b-4170-8152-e056b4b063ab"/>
    <ds:schemaRef ds:uri="49014cc3-55ac-40f9-93dd-8a4b8e00b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DE289-4ACA-48D3-8D85-256A9DE0F7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A602B3-699D-4FE1-8F41-141F5E069077}">
  <ds:schemaRefs>
    <ds:schemaRef ds:uri="http://schemas.microsoft.com/office/2006/metadata/properties"/>
    <ds:schemaRef ds:uri="http://schemas.microsoft.com/office/infopath/2007/PartnerControls"/>
    <ds:schemaRef ds:uri="f7ab4c37-169b-4170-8152-e056b4b063ab"/>
    <ds:schemaRef ds:uri="49014cc3-55ac-40f9-93dd-8a4b8e00b7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Utkast%20-%20Position%20Paper%20ICT%20Norway%20(April%202025)-Admin%20sin%25</Template>
  <TotalTime>1</TotalTime>
  <Pages>2</Pages>
  <Words>593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Simonsen</dc:creator>
  <cp:keywords/>
  <dc:description/>
  <cp:lastModifiedBy>Jarle Roheim Håkonsen</cp:lastModifiedBy>
  <cp:revision>2</cp:revision>
  <dcterms:created xsi:type="dcterms:W3CDTF">2025-04-27T16:31:00Z</dcterms:created>
  <dcterms:modified xsi:type="dcterms:W3CDTF">2025-04-27T16:31:00Z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0x01010010D7E220EB6AF449B65BF17D8D8E1AB8</vt:lpwstr>
  </property>
  <property fmtid="{D5CDD505-2E9C-101B-9397-08002B2CF9AE}" pid="3" name="MediaServiceImageTags">
    <vt:lpwstr/>
  </property>
</Properties>
</file>